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B11" w:rsidRPr="00501B11" w:rsidRDefault="00501B11" w:rsidP="0050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 w:eastAsia="ru-RU"/>
        </w:rPr>
      </w:pPr>
      <w:r w:rsidRPr="00501B1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 w:eastAsia="ru-RU"/>
        </w:rPr>
        <w:t>Американський модерн</w:t>
      </w:r>
    </w:p>
    <w:p w:rsidR="00501B11" w:rsidRPr="00501B11" w:rsidRDefault="00501B11" w:rsidP="0050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 w:eastAsia="ru-RU"/>
        </w:rPr>
      </w:pPr>
    </w:p>
    <w:p w:rsidR="00B9158C" w:rsidRPr="00B9158C" w:rsidRDefault="00B9158C" w:rsidP="0050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9158C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Американські майстри танцю модерн знаходили у фольклорі одне з головних джерел натхнення. Народні танці та музика були перенесені безпосередньо з плантацій до барів, танцювальних залів та мюзик-холів, де до останньої чверті 19 століття </w:t>
      </w:r>
      <w:proofErr w:type="spellStart"/>
      <w:r w:rsidRPr="00B9158C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розвинулися</w:t>
      </w:r>
      <w:proofErr w:type="spellEnd"/>
      <w:r w:rsidRPr="00B9158C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різноманітні форми професійної хореографії. Американський танець модерн став етапом у становленні американського хореографічного театру. Зв'язок із фольклором народів, що населяють США (особливо негритянським та індіанським), визначив основні стилістичні відмінності його лексики.</w:t>
      </w:r>
    </w:p>
    <w:p w:rsidR="00B9158C" w:rsidRPr="00501B11" w:rsidRDefault="00B9158C" w:rsidP="00501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58C" w:rsidRPr="00501B11" w:rsidRDefault="00B9158C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В 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основному вони проявляються у рухах корпусу. Крім нахилів і перегинів, рухливості плечей, прийомів пластики гімнастичних вправ, ігор і балетної пантоміми, в американському танці модерн використовуються різного роду пульсації торса,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виштовхувальні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і обертальні рухи стегон. Американському танцю модерн властива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багатовимірніша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структура і складна криволінійність малюнка. Існують відмінності у підході до музики. Визначальним чинником стала образна та ритмічна партитура створеного хореографом танцю. [11, 77]</w:t>
      </w:r>
    </w:p>
    <w:p w:rsidR="00B9158C" w:rsidRPr="00501B11" w:rsidRDefault="00B9158C" w:rsidP="00501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58C" w:rsidRPr="00501B11" w:rsidRDefault="00B9158C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Прямий вплив на виникнення танцю модерн у США мала інша американська танцівниця — Р. Сен-Дені, яка отримала популярність виконанням театралізованих культових танців Сходу. Велика увага приділялася костюму, який Сен-Дені вважала складовою пластичної виразності танцю. У 1915 році вона і Т.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Шоун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організували в Лос-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Анджелесі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трупу «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Денішоун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» і школу, де поряд з танцями вивчалися споріднені мистецтва та філософія. Тут навчалися та отримали перший сценічний досвід танцівники, які очолили у 30-ті роки.</w:t>
      </w:r>
    </w:p>
    <w:p w:rsidR="00B9158C" w:rsidRPr="00501B11" w:rsidRDefault="00B9158C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американського танцю модерн. На противагу танцю-розваги, танцю ілюстрації, танцю-розповіді, танцювальне мистецтво для них стає виразом духовного початку. [3, 414]</w:t>
      </w:r>
    </w:p>
    <w:p w:rsidR="00B9158C" w:rsidRPr="00501B11" w:rsidRDefault="00B9158C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lastRenderedPageBreak/>
        <w:t>Учениця школи «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Денішоун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» Марта Грехем у своєму мистецтві танцівниці та хореографа найповніше реалізувала особливості стилю та техніки танцю модерн. Хореографічний театр Грехем вплинув на танець модерн, як і мистецтво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Дункан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. Її постановки 30-40-х років («Кордон», «Весна в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Аппалачских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горах»), в яких виявилося прагнення передати риси американського характеру, показати людину епохи заселення Америки, відрізнялися символічним і легендарно-епічним трактуванням.</w:t>
      </w:r>
    </w:p>
    <w:p w:rsidR="00B9158C" w:rsidRPr="00501B11" w:rsidRDefault="00B9158C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Надалі Грехем створювала твори, засновані переважно на сюжетах античної та біблійної міфології. Їм притаманні тонкий психологізм у розкритті образів, ускладнена метафоричність танцювальної дії (хореографічні драми «Смерть і виходи» Джонсона, «Зі звісткою в лабіринт» -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Менотті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, «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Альцеста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» Фаїна, «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Федра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»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Сгарера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, «Міф про подорож»). Фізичні зусилля, які старанно ховалися в класичному танці, Грехем оголила. Для кожної частини тіла вона знаходила положення, що мало їм властиві, що суперечать звичайним.</w:t>
      </w:r>
    </w:p>
    <w:p w:rsidR="00B9158C" w:rsidRPr="00501B11" w:rsidRDefault="00B9158C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А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ле формотворчість не було для неї самоціллю. Грехем прагнула створити драматично насичену танцювальну мову, здатну передавати весь комплекс людських переживань.</w:t>
      </w:r>
      <w:r w:rsidR="00BA36E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hyperlink r:id="rId4" w:history="1">
        <w:r w:rsidR="00BA36EE" w:rsidRPr="00CF06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https://www.youtube.com/watch?v=iaoBLxSElJE&amp;t=4s</w:t>
        </w:r>
      </w:hyperlink>
      <w:r w:rsidR="00BA36E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</w:p>
    <w:p w:rsidR="00B9158C" w:rsidRPr="00501B11" w:rsidRDefault="00B9158C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Ту ж мету мала й інша відома представниця танцю модерн - Д.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Хамфрі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. Приділяючи велику увагу пластичної відточеності та технічності танцю, ці майстри виступили проти культу краси та витонченого стилізаторства Сен-Дені. У 1427 Грехем і в 1928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Хамфрі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спільно з Ч.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Вейдманом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створили трупи і студії. На їхню творчість великий вплив зробив фольклор американських індіанців та негрів, а також мистецтво Сходу.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Хамфрі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збагатила Т.М. плавною жестикуляцією, технікою легких і швидких рухів ніг, рухами падаючого тіла, що піднімається з підлоги.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Вона першою в США почала викладати композицію танцю, відійшла від абстрактної танцювальної лексики та ілюстративної пантоміми, розширила межі малих хореографічних форм, що панували в танець модерн, зробила значний внесок у його теорію. Постановки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Хамфрі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як правило, 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lastRenderedPageBreak/>
        <w:t xml:space="preserve">торкалися психології та соціально-етичних проблем («Біжіть, маленькі діти» на негритянський музичний фольклор, «Історія людства» Новака; «Розслідування» та «Плач за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Іпасло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Санчес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Мехіас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», обидва-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Ллойда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; «День на Землі»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Копленда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). У 30-ті роки. суспільно-політичні теми залучали багатьох провідних хореографів. [8, 27]</w:t>
      </w:r>
      <w:r w:rsidR="008550B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hyperlink r:id="rId5" w:history="1">
        <w:r w:rsidR="008550BC" w:rsidRPr="00CF06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https://www.youtube.com/watch?v=1-yn_Kw2O40&amp;t=4s</w:t>
        </w:r>
      </w:hyperlink>
      <w:r w:rsidR="008550B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</w:p>
    <w:p w:rsidR="00B9158C" w:rsidRPr="00501B11" w:rsidRDefault="00B9158C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Наприкінці 30-х років. мистецтво сольного танцю, що переважало на ранніх етапах у танець модерн, поступилося місцем ансамблевому. Рухи, виконавська манера, зумовлені індивідуальністю провідного танцівника-хореографа, ставали основою інших акторів трупи. Це призводило до виникнення певного канону, формування різних художніх шкіл танцю модерну.</w:t>
      </w:r>
    </w:p>
    <w:p w:rsidR="00B9158C" w:rsidRPr="00501B11" w:rsidRDefault="00B9158C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У 50-ті роки танець модерн вводився як навчальна дисципліна в багато коледжі та університети США. Хореографи почали застосовувати класичний танець як основу тренажу, використовуючи у своїх постановках елементи його лексики та техніки. Найбільш ємною і послідовною виявилася концепція А. Соколової, учениці Грехем, яка стверджувала, що лише взаємопроникнення різних шкіл та напрямів може дати хореографу художні засоби, необхідні для повного розкриття тієї чи іншої теми.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Соколова пропонувала танцівникам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пластично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висловити ті ідеї та емоції, які вона хотіла втілити у своїх постановках, що часто зображували темні сторони людської натури, нерідко пройнятих гірким гумором і сарказмом («Війна прекрасна»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Норта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«Пустиня» на музику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Вареза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«4 Берда, «Кімнати»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Хопкінса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та інші).</w:t>
      </w:r>
    </w:p>
    <w:p w:rsidR="00B9158C" w:rsidRPr="00501B11" w:rsidRDefault="00B9158C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Творчість хореографів цього покоління С.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Ширер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і X. Лимона тривалий час було з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Хамфрі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, в якої вони вчилися. Хореографія Лимона - складний синтез американського танцю модерн та іспано-мексиканські традиційні мистецтва, її відрізняють різкі контрасти ліричних та драматичних засад. Багатьом постановкам властива епічність та монументальність, герої зображуються в моменти крайньої душевної напруги, коли підсвідомість керує їх вчинками.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опулярність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здобули роботи Лимона «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Павана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мавра»; "Танці для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Айседори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" на 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lastRenderedPageBreak/>
        <w:t xml:space="preserve">музику Шопена, "Меса військових часів" на музику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Кодая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 Ідею хореографічного спектаклю без музичного супроводу хореографу з найбільшою повнотою вдалося реалізувати в «Неоспіваних» та «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Карлоті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». [9, 81]</w:t>
      </w:r>
      <w:r w:rsidR="008550B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hyperlink r:id="rId6" w:history="1">
        <w:r w:rsidR="008550BC" w:rsidRPr="00CF06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https://www.youtube.com/watch?v=4vCRQNw5P9c</w:t>
        </w:r>
      </w:hyperlink>
      <w:r w:rsidR="008550B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01B11" w:rsidRPr="00501B11" w:rsidRDefault="00501B11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Мистецтво негритянських хореографів і танцівників дбайливо зберігає ритмопластичне фольклорне коріння. Багато робіт П. Прай-мес. К.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Данхем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Дж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Тріслер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Д. Мак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Кейла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Т.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Бітті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К. де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Лавальяде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М.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Хінксон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Дж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Джемісон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та інші можна розглядати як національні форми сучасні сценічні хореографії негрів. У 1958 році відкрився Американський театр танцю під керівництвом А.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Ейлі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— перша некомерційна трупа танцю модерн, що включала в репертуар твори різних балетмейстерів.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У своїх постановках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Ейлі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прагне злити єдине ціле танець і музику з принципами драматичного мистецтва. Серед його найкращих робіт – «Оплакування ранку» на музику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Еллінгтона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«Одкровення» на музику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спірічуелс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. де танцю було повернуто його початкову ритуальність, «Струмки» на музику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Кабелача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501B11" w:rsidRPr="00501B11" w:rsidRDefault="00501B11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На початку 60-х років в американському танці модерну розпочався новий етап розвитку. Поряд із великою кількістю професійних труп, таких, як Л.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Любовича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П.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Санасардо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Л.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Фалько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почали виступати хореографи, що різко поривали з традиціями та узаконеними формами танцю. Найбільший серед них М.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Каннінгем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створив у співдружності з композитором Д.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Кейджем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спектаклі («Сюїта для п'яти в часі та просторі», «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Аеон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», «Як ходити, брикатися, падати та бігати»), в яких почав прати межу між організованим танцем та «конкретним», побутовим рухом. [7, 352]</w:t>
      </w:r>
    </w:p>
    <w:p w:rsidR="00501B11" w:rsidRPr="00501B11" w:rsidRDefault="00501B11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В експериментаторських роботах А.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Ніколайса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(«Притулок», «Тотем», «Галактики»), в яких він виступив не тільки як хореограф, але також як сценограф і композитор, прагнення образної цілісності вистави призвело до майже повного зрівняння смислової та образної значущості кожного із візуально-звукових компонентів. Хореографічна лексика Е.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Хокінса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Д.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Уорінга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Дж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lastRenderedPageBreak/>
        <w:t>Батлера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, П. Тейлора, що також виступили в цей період, - синтез різних шкіл і течій.</w:t>
      </w:r>
    </w:p>
    <w:p w:rsidR="00501B11" w:rsidRPr="00501B11" w:rsidRDefault="00501B11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Батлер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тяжіє до міфологічного та алегоричного вирішення тем («Єдиноріг», «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Горгона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і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Монтікора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»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Менотті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«Портрет Біллі» на музику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Холідей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). У своїй хореографії він першим використав прийоми джазової імпровізації.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Метафоріч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 психологізм робіт Тейлора, в яких гумор поєднувався з атлетичною енергією рухів, комічний - з трагічним, дозволив надзвичайно широко тлумачити їх зміст («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Скудора-ма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» Джексона, «Суспільне володіння» Мак-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Доуелла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 «Велика Берта» на конкретну музику).</w:t>
      </w:r>
    </w:p>
    <w:p w:rsidR="00501B11" w:rsidRPr="00501B11" w:rsidRDefault="00501B11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Творчість цих майстрів стимулювала інтерес до нових форм хореографії. З'явилося безліч нових експериментальних труп і груп. З цієї надзвичайно різнорідної з художніх устремлінь середовища виділилися талановиті хореографи (Т.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Тарп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Еге.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Саммерс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А.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Халпрін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М.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Дітмонг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М.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Уокер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та інших.), отримали визнання початку 70-х гг. Більшість із них не вважають сцену основним місцем для виступів. Вистави створюються на найнесподіваніших майданчиках.</w:t>
      </w:r>
    </w:p>
    <w:p w:rsidR="00501B11" w:rsidRPr="00501B11" w:rsidRDefault="00501B11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Відмова від фронтальності, центричності композицій, спеціального костюма, гриму, музики, танцювальної техніки, узаконюйте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позатанцювальні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рухи, прийомів </w:t>
      </w:r>
      <w:proofErr w:type="spellStart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хепенінгу</w:t>
      </w:r>
      <w:proofErr w:type="spellEnd"/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, серійної музики, використання джазу, музики кантрі та рок - все це породило нові форми хореографії та взаємини танцівників з глядачами. [5,47]</w:t>
      </w:r>
    </w:p>
    <w:p w:rsidR="00501B11" w:rsidRPr="00501B11" w:rsidRDefault="00501B11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</w:p>
    <w:p w:rsidR="00501B11" w:rsidRPr="00501B11" w:rsidRDefault="00501B11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Методи творчості, застосовувані представниками танець модерн, варіюються від критичного реалізму, що є дієвим засобом викриття буржуазного суспільства, до формалістичних прийомів, якими хореографи намагаються висловити свій протест.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Висуваючи як основну доктрину повної свободи самовираження, вони тим самим відкривають доступ творам, у яких часом відсутність майстерності та професіоналізму видається за новації та мистецтв, </w:t>
      </w:r>
      <w:r w:rsidRPr="00501B1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lastRenderedPageBreak/>
        <w:t>шукання. Найбільшого поширення танцю модерн набув у країнах із багатим музично-танцювальним фольклором або ж із давніми театрами, традиціями, але де не було свого класичного балету.</w:t>
      </w:r>
    </w:p>
    <w:p w:rsidR="00501B11" w:rsidRPr="00501B11" w:rsidRDefault="00501B11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</w:p>
    <w:p w:rsidR="00B9158C" w:rsidRPr="00501B11" w:rsidRDefault="00B9158C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</w:p>
    <w:p w:rsidR="00B9158C" w:rsidRPr="00501B11" w:rsidRDefault="00B9158C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</w:p>
    <w:p w:rsidR="00B9158C" w:rsidRPr="00501B11" w:rsidRDefault="00B9158C" w:rsidP="00501B11">
      <w:pPr>
        <w:pStyle w:val="HTML"/>
        <w:spacing w:line="540" w:lineRule="atLeast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</w:p>
    <w:p w:rsidR="00B9158C" w:rsidRPr="00501B11" w:rsidRDefault="00B9158C" w:rsidP="00501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158C" w:rsidRPr="00501B11" w:rsidSect="00501B11">
      <w:pgSz w:w="11900" w:h="16840"/>
      <w:pgMar w:top="852" w:right="821" w:bottom="66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8C"/>
    <w:rsid w:val="00501B11"/>
    <w:rsid w:val="008550BC"/>
    <w:rsid w:val="00B9158C"/>
    <w:rsid w:val="00BA36EE"/>
    <w:rsid w:val="00D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C8D0B8"/>
  <w15:chartTrackingRefBased/>
  <w15:docId w15:val="{39EF6A69-5687-064B-9306-D426D487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1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5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9158C"/>
  </w:style>
  <w:style w:type="character" w:styleId="a3">
    <w:name w:val="Hyperlink"/>
    <w:basedOn w:val="a0"/>
    <w:uiPriority w:val="99"/>
    <w:unhideWhenUsed/>
    <w:rsid w:val="00BA36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vCRQNw5P9c" TargetMode="External"/><Relationship Id="rId5" Type="http://schemas.openxmlformats.org/officeDocument/2006/relationships/hyperlink" Target="https://www.youtube.com/watch?v=1-yn_Kw2O40&amp;t=4s" TargetMode="External"/><Relationship Id="rId4" Type="http://schemas.openxmlformats.org/officeDocument/2006/relationships/hyperlink" Target="https://www.youtube.com/watch?v=iaoBLxSElJE&amp;t=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Терешенко</dc:creator>
  <cp:keywords/>
  <dc:description/>
  <cp:lastModifiedBy>Наталья Терешенко</cp:lastModifiedBy>
  <cp:revision>2</cp:revision>
  <dcterms:created xsi:type="dcterms:W3CDTF">2023-02-09T08:08:00Z</dcterms:created>
  <dcterms:modified xsi:type="dcterms:W3CDTF">2023-02-09T08:41:00Z</dcterms:modified>
</cp:coreProperties>
</file>