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A9" w:rsidRDefault="002604A9" w:rsidP="00260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«Режисура культурно-дозвіллєвої діяльності» 111М група. 23.04.2020 р. (III пара).</w:t>
      </w:r>
    </w:p>
    <w:p w:rsidR="002604A9" w:rsidRDefault="002604A9" w:rsidP="002604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4A9" w:rsidRDefault="002604A9" w:rsidP="002604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5FC7" w:rsidRPr="004A5FC7">
        <w:rPr>
          <w:rFonts w:ascii="Times New Roman" w:hAnsi="Times New Roman" w:cs="Times New Roman"/>
          <w:b/>
          <w:sz w:val="28"/>
          <w:szCs w:val="28"/>
        </w:rPr>
        <w:t>ДРУГА ГЕНЕРАЛЬНА РЕПЕТИЦІЯ ТА ЇЇ ОБГОВОРЕННЯ.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4A9" w:rsidRDefault="002604A9" w:rsidP="00260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 xml:space="preserve">: сформувати у студентів чітке розуміння та вміння проводити </w:t>
      </w:r>
      <w:r w:rsidR="004A5FC7">
        <w:rPr>
          <w:rFonts w:ascii="Times New Roman" w:hAnsi="Times New Roman" w:cs="Times New Roman"/>
          <w:sz w:val="28"/>
          <w:szCs w:val="28"/>
        </w:rPr>
        <w:t xml:space="preserve">другу </w:t>
      </w:r>
      <w:r>
        <w:rPr>
          <w:rFonts w:ascii="Times New Roman" w:hAnsi="Times New Roman" w:cs="Times New Roman"/>
          <w:sz w:val="28"/>
          <w:szCs w:val="28"/>
        </w:rPr>
        <w:t>генеральн</w:t>
      </w:r>
      <w:r w:rsidR="004A5F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репетиці</w:t>
      </w:r>
      <w:r w:rsidR="004A5F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 метою усунення недоліків</w:t>
      </w:r>
      <w:r w:rsidR="001D4078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2604A9" w:rsidRDefault="001D4078" w:rsidP="002604A9">
      <w:pPr>
        <w:pStyle w:val="1"/>
        <w:jc w:val="both"/>
        <w:rPr>
          <w:rFonts w:eastAsiaTheme="minorEastAsia"/>
          <w:b/>
        </w:rPr>
      </w:pPr>
      <w:r>
        <w:t>Визначення загального рівня творчої і технічної готовності вистави.</w:t>
      </w:r>
    </w:p>
    <w:p w:rsidR="002604A9" w:rsidRDefault="002604A9" w:rsidP="002604A9">
      <w:pPr>
        <w:pStyle w:val="1"/>
        <w:rPr>
          <w:rFonts w:eastAsiaTheme="minorEastAsia"/>
        </w:rPr>
      </w:pPr>
      <w:r>
        <w:rPr>
          <w:rFonts w:eastAsiaTheme="minorEastAsia"/>
          <w:b/>
        </w:rPr>
        <w:t>План практичного заняття</w:t>
      </w:r>
      <w:r>
        <w:rPr>
          <w:rFonts w:eastAsiaTheme="minorEastAsia"/>
        </w:rPr>
        <w:t>.</w:t>
      </w:r>
    </w:p>
    <w:p w:rsidR="002604A9" w:rsidRDefault="002604A9" w:rsidP="002604A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4A5FC7">
        <w:rPr>
          <w:rFonts w:ascii="Times New Roman" w:hAnsi="Times New Roman" w:cs="Times New Roman"/>
          <w:sz w:val="28"/>
          <w:szCs w:val="28"/>
        </w:rPr>
        <w:t xml:space="preserve">другої </w:t>
      </w:r>
      <w:r>
        <w:rPr>
          <w:rFonts w:ascii="Times New Roman" w:hAnsi="Times New Roman" w:cs="Times New Roman"/>
          <w:sz w:val="28"/>
          <w:szCs w:val="28"/>
        </w:rPr>
        <w:t>генеральної репетиції</w:t>
      </w:r>
      <w:r w:rsidR="004A5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4A9" w:rsidRDefault="002604A9" w:rsidP="002604A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Обговорення генеральної репетиції</w:t>
      </w:r>
      <w:r w:rsidR="004A5FC7">
        <w:rPr>
          <w:rFonts w:ascii="Times New Roman" w:hAnsi="Times New Roman" w:cs="Times New Roman"/>
          <w:sz w:val="28"/>
          <w:szCs w:val="28"/>
        </w:rPr>
        <w:t xml:space="preserve"> з метою усунення недоліків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4A9" w:rsidRDefault="002604A9" w:rsidP="002604A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04A9" w:rsidRDefault="002604A9" w:rsidP="00260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2604A9" w:rsidRDefault="002604A9" w:rsidP="00260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F8A" w:rsidRDefault="004A5FC7" w:rsidP="00782F8A">
      <w:pPr>
        <w:pStyle w:val="21"/>
        <w:spacing w:after="0"/>
      </w:pPr>
      <w:r>
        <w:t xml:space="preserve">У театральній практиці загальноприйнято проводити дві генеральних репетиції. Однак, у кожного режисера є свій стиль роботи, своя манера, </w:t>
      </w:r>
      <w:r w:rsidR="001D4078">
        <w:t xml:space="preserve">свої погляди, </w:t>
      </w:r>
      <w:r>
        <w:t xml:space="preserve">свої певні переконання. Тому, не можна стверджувати, що доречно проводити </w:t>
      </w:r>
      <w:r w:rsidR="00CD25FA">
        <w:t xml:space="preserve">саме </w:t>
      </w:r>
      <w:r>
        <w:t>дві або три генеральних репетиції. Режисер проводить їх стільки</w:t>
      </w:r>
      <w:r w:rsidR="00CD25FA">
        <w:t>, скільки</w:t>
      </w:r>
      <w:r>
        <w:t xml:space="preserve"> вважає за потрібне, виходячи із </w:t>
      </w:r>
      <w:r w:rsidR="00CD25FA">
        <w:t xml:space="preserve">загального </w:t>
      </w:r>
      <w:r w:rsidR="00782F8A">
        <w:t xml:space="preserve">рівня творчої і технічної </w:t>
      </w:r>
      <w:r>
        <w:t xml:space="preserve">готовності </w:t>
      </w:r>
      <w:r w:rsidR="00782F8A">
        <w:t>вистави.</w:t>
      </w:r>
    </w:p>
    <w:p w:rsidR="00CD25FA" w:rsidRDefault="00782F8A" w:rsidP="00782F8A">
      <w:pPr>
        <w:pStyle w:val="21"/>
        <w:spacing w:after="0"/>
      </w:pPr>
      <w:r>
        <w:t xml:space="preserve">Ще раз нагадую вам, </w:t>
      </w:r>
      <w:r w:rsidR="004A5FC7">
        <w:t>що о</w:t>
      </w:r>
      <w:r w:rsidR="004A5FC7" w:rsidRPr="00CE0907">
        <w:t xml:space="preserve">цінка результатів </w:t>
      </w:r>
      <w:r>
        <w:t xml:space="preserve">другої </w:t>
      </w:r>
      <w:r w:rsidR="004A5FC7" w:rsidRPr="00CE0907">
        <w:t xml:space="preserve">генеральної репетиції </w:t>
      </w:r>
      <w:r w:rsidR="004A5FC7">
        <w:t xml:space="preserve">має бути визначена </w:t>
      </w:r>
      <w:r w:rsidR="004A5FC7" w:rsidRPr="00CE0907">
        <w:t>з точки зору здійснення режисерського задуму вистави, втілення надзавдання і наскрізної дії</w:t>
      </w:r>
      <w:r w:rsidR="00CD25FA">
        <w:t xml:space="preserve">, тобто перевірки </w:t>
      </w:r>
      <w:r w:rsidR="00CD25FA" w:rsidRPr="00CD25FA">
        <w:t>цілісн</w:t>
      </w:r>
      <w:r w:rsidR="00CD25FA">
        <w:t>ості</w:t>
      </w:r>
      <w:r w:rsidR="00CD25FA" w:rsidRPr="00CD25FA">
        <w:t xml:space="preserve"> загальносценічн</w:t>
      </w:r>
      <w:r w:rsidR="00CD25FA">
        <w:t>ого</w:t>
      </w:r>
      <w:r w:rsidR="00CD25FA" w:rsidRPr="00CD25FA">
        <w:t xml:space="preserve"> образу театралізованої шоу-програми, який складається з пластичного рішення, сценографічного </w:t>
      </w:r>
      <w:r w:rsidR="00CD25FA">
        <w:t>та</w:t>
      </w:r>
      <w:r w:rsidR="00CD25FA" w:rsidRPr="00CD25FA">
        <w:t xml:space="preserve"> музичного.</w:t>
      </w:r>
    </w:p>
    <w:p w:rsidR="002604A9" w:rsidRDefault="002604A9" w:rsidP="00260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проведення </w:t>
      </w:r>
      <w:r w:rsidR="00CD25FA">
        <w:rPr>
          <w:rFonts w:ascii="Times New Roman" w:hAnsi="Times New Roman" w:cs="Times New Roman"/>
          <w:sz w:val="28"/>
          <w:szCs w:val="28"/>
        </w:rPr>
        <w:t xml:space="preserve">другої </w:t>
      </w:r>
      <w:r>
        <w:rPr>
          <w:rFonts w:ascii="Times New Roman" w:hAnsi="Times New Roman" w:cs="Times New Roman"/>
          <w:sz w:val="28"/>
          <w:szCs w:val="28"/>
        </w:rPr>
        <w:t>генеральної репетиції</w:t>
      </w:r>
      <w:r w:rsidR="00CD25FA">
        <w:rPr>
          <w:rFonts w:ascii="Times New Roman" w:hAnsi="Times New Roman" w:cs="Times New Roman"/>
          <w:sz w:val="28"/>
          <w:szCs w:val="28"/>
        </w:rPr>
        <w:t>, підводиться підсумок з визначення готовності вистави. Після цього доречно показати виставу художній раді з запрошеними глядачами.</w:t>
      </w:r>
    </w:p>
    <w:p w:rsidR="002604A9" w:rsidRDefault="002604A9" w:rsidP="002604A9">
      <w:pPr>
        <w:pStyle w:val="21"/>
        <w:spacing w:after="0"/>
      </w:pPr>
      <w:r>
        <w:rPr>
          <w:b/>
        </w:rPr>
        <w:t>Формою контролю</w:t>
      </w:r>
      <w:r>
        <w:t xml:space="preserve"> має бути проведення </w:t>
      </w:r>
      <w:r w:rsidR="001D4078">
        <w:t xml:space="preserve">другої </w:t>
      </w:r>
      <w:r>
        <w:t>генеральної репетиції шоу-програми «Український хелловін або свято Кабака» з метою усунення творчих і технічних недоліків театралізованого дійства.</w:t>
      </w:r>
    </w:p>
    <w:p w:rsidR="002604A9" w:rsidRDefault="002604A9" w:rsidP="002604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A9" w:rsidRDefault="002604A9" w:rsidP="002604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2604A9" w:rsidRDefault="002604A9" w:rsidP="002604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Захава Б. Е. Мастерство актёра и режиссёра 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пособ. для спец. учеб.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и искусства. 3-е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М. : Просвещение, 1973. 320 с. </w:t>
      </w:r>
    </w:p>
    <w:p w:rsidR="002604A9" w:rsidRDefault="002604A9" w:rsidP="002604A9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2. Корнієнко Н. Режисерське мистецтво Леся Курбаса.</w:t>
      </w:r>
      <w:r>
        <w:rPr>
          <w:sz w:val="28"/>
          <w:szCs w:val="28"/>
        </w:rPr>
        <w:t xml:space="preserve"> К. :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>
        <w:rPr>
          <w:sz w:val="28"/>
          <w:szCs w:val="28"/>
        </w:rPr>
        <w:t xml:space="preserve"> імені Леся Курбаса, 2005. 408 с.</w:t>
      </w:r>
    </w:p>
    <w:p w:rsidR="001D4078" w:rsidRDefault="001D4078" w:rsidP="002604A9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Курбас Л. Березіль : із творчої спадщини / 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і прим. М. </w:t>
      </w:r>
      <w:proofErr w:type="spellStart"/>
      <w:r>
        <w:rPr>
          <w:sz w:val="28"/>
          <w:szCs w:val="28"/>
        </w:rPr>
        <w:t>Лабінського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передм</w:t>
      </w:r>
      <w:proofErr w:type="spellEnd"/>
      <w:r>
        <w:rPr>
          <w:sz w:val="28"/>
          <w:szCs w:val="28"/>
        </w:rPr>
        <w:t>. Ю. </w:t>
      </w:r>
      <w:proofErr w:type="spellStart"/>
      <w:r>
        <w:rPr>
          <w:sz w:val="28"/>
          <w:szCs w:val="28"/>
        </w:rPr>
        <w:t>Бобошка</w:t>
      </w:r>
      <w:proofErr w:type="spellEnd"/>
      <w:r>
        <w:rPr>
          <w:sz w:val="28"/>
          <w:szCs w:val="28"/>
        </w:rPr>
        <w:t>]. Київ : Дніпро, 1988. 517 с.</w:t>
      </w:r>
    </w:p>
    <w:p w:rsidR="002604A9" w:rsidRDefault="001D4078" w:rsidP="001D4078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2604A9">
        <w:rPr>
          <w:sz w:val="28"/>
          <w:szCs w:val="28"/>
        </w:rPr>
        <w:t>Курбас Л. Філософія театру / [</w:t>
      </w:r>
      <w:proofErr w:type="spellStart"/>
      <w:r w:rsidR="002604A9">
        <w:rPr>
          <w:sz w:val="28"/>
          <w:szCs w:val="28"/>
        </w:rPr>
        <w:t>упоряд</w:t>
      </w:r>
      <w:proofErr w:type="spellEnd"/>
      <w:r w:rsidR="002604A9">
        <w:rPr>
          <w:sz w:val="28"/>
          <w:szCs w:val="28"/>
        </w:rPr>
        <w:t>. М. </w:t>
      </w:r>
      <w:proofErr w:type="spellStart"/>
      <w:r w:rsidR="002604A9">
        <w:rPr>
          <w:sz w:val="28"/>
          <w:szCs w:val="28"/>
        </w:rPr>
        <w:t>Лабінський</w:t>
      </w:r>
      <w:proofErr w:type="spellEnd"/>
      <w:r w:rsidR="002604A9">
        <w:rPr>
          <w:sz w:val="28"/>
          <w:szCs w:val="28"/>
        </w:rPr>
        <w:t>]. Київ : Основи, 2001. 917 с.</w:t>
      </w:r>
    </w:p>
    <w:p w:rsidR="002604A9" w:rsidRDefault="002604A9" w:rsidP="002604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Лимаренко Л. І. Студентський театр у системі професійної підготовки майбутніх педагогів : монографія. </w:t>
      </w:r>
      <w:proofErr w:type="spellStart"/>
      <w:r>
        <w:rPr>
          <w:sz w:val="28"/>
          <w:szCs w:val="28"/>
        </w:rPr>
        <w:t>Херс</w:t>
      </w:r>
      <w:proofErr w:type="spellEnd"/>
      <w:r>
        <w:rPr>
          <w:sz w:val="28"/>
          <w:szCs w:val="28"/>
        </w:rPr>
        <w:t>. держ. ун-т. Херсон : ХДУ, 2015. 484 с.</w:t>
      </w:r>
    </w:p>
    <w:p w:rsidR="002604A9" w:rsidRDefault="002604A9" w:rsidP="002604A9">
      <w:pPr>
        <w:pStyle w:val="2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proofErr w:type="spellStart"/>
      <w:r>
        <w:rPr>
          <w:rFonts w:ascii="Times New Roman" w:hAnsi="Times New Roman"/>
          <w:sz w:val="28"/>
          <w:szCs w:val="28"/>
        </w:rPr>
        <w:t>Мочалов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>
        <w:rPr>
          <w:rFonts w:ascii="Times New Roman" w:hAnsi="Times New Roman"/>
          <w:sz w:val="28"/>
          <w:szCs w:val="28"/>
        </w:rPr>
        <w:t>Композиция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сценического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пространства</w:t>
      </w:r>
      <w:proofErr w:type="spellEnd"/>
      <w:r>
        <w:rPr>
          <w:rFonts w:ascii="Times New Roman" w:hAnsi="Times New Roman"/>
          <w:sz w:val="28"/>
          <w:szCs w:val="28"/>
        </w:rPr>
        <w:t>. М.: Просвещение, 1981. 239 с.</w:t>
      </w:r>
    </w:p>
    <w:p w:rsidR="002604A9" w:rsidRDefault="002604A9" w:rsidP="002604A9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 Неллі В. О. Про режисуру. Київ : Мистецтво, 1977. 207 с.</w:t>
      </w:r>
    </w:p>
    <w:p w:rsidR="002604A9" w:rsidRDefault="002604A9" w:rsidP="002604A9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Попов А.Д. </w:t>
      </w:r>
      <w:proofErr w:type="spellStart"/>
      <w:r>
        <w:rPr>
          <w:sz w:val="28"/>
          <w:szCs w:val="28"/>
        </w:rPr>
        <w:t>Художественная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целостность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спектакля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Творческое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наследие</w:t>
      </w:r>
      <w:proofErr w:type="spellEnd"/>
      <w:r>
        <w:rPr>
          <w:sz w:val="28"/>
          <w:szCs w:val="28"/>
        </w:rPr>
        <w:t xml:space="preserve">: В 3 т. / Ред. 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>.: Ю. С. Калашников (</w:t>
      </w:r>
      <w:proofErr w:type="spellStart"/>
      <w:r>
        <w:rPr>
          <w:sz w:val="28"/>
          <w:szCs w:val="28"/>
        </w:rPr>
        <w:t>ответств</w:t>
      </w:r>
      <w:proofErr w:type="spellEnd"/>
      <w:r>
        <w:rPr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>
        <w:rPr>
          <w:sz w:val="28"/>
          <w:szCs w:val="28"/>
        </w:rPr>
        <w:t>Фролов</w:t>
      </w:r>
      <w:proofErr w:type="spellEnd"/>
      <w:r>
        <w:rPr>
          <w:sz w:val="28"/>
          <w:szCs w:val="28"/>
        </w:rPr>
        <w:t>; Ред. В.В. </w:t>
      </w:r>
      <w:proofErr w:type="spellStart"/>
      <w:r>
        <w:rPr>
          <w:sz w:val="28"/>
          <w:szCs w:val="28"/>
        </w:rPr>
        <w:t>Фролов</w:t>
      </w:r>
      <w:proofErr w:type="spellEnd"/>
      <w:r>
        <w:rPr>
          <w:sz w:val="28"/>
          <w:szCs w:val="28"/>
        </w:rPr>
        <w:t xml:space="preserve">. М.: ВТО, 1979. Т. 1. </w:t>
      </w:r>
      <w:proofErr w:type="spellStart"/>
      <w:r>
        <w:rPr>
          <w:sz w:val="28"/>
          <w:szCs w:val="28"/>
        </w:rPr>
        <w:t>Воспоминания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размышления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театре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Художественная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целостность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спектакля</w:t>
      </w:r>
      <w:proofErr w:type="spellEnd"/>
      <w:r>
        <w:rPr>
          <w:sz w:val="28"/>
          <w:szCs w:val="28"/>
        </w:rPr>
        <w:t>. 519 с.</w:t>
      </w:r>
    </w:p>
    <w:p w:rsidR="002604A9" w:rsidRDefault="002604A9" w:rsidP="002604A9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 Проскуряков В. І. Архітектура українського театру. Простір і дія : монографія. Львів : Львівська політехніка ; Срібне слово, 2004. 584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с.</w:t>
      </w:r>
    </w:p>
    <w:p w:rsidR="002604A9" w:rsidRDefault="002604A9" w:rsidP="002604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Цвєтков В.І. Основи класичної режисури. Конспект лекцій. Харків: БУРУН і К., 2008. 160 с.</w:t>
      </w:r>
    </w:p>
    <w:p w:rsidR="002604A9" w:rsidRDefault="002604A9" w:rsidP="002604A9">
      <w:pPr>
        <w:pStyle w:val="2"/>
      </w:pPr>
      <w:r>
        <w:t>11. </w:t>
      </w:r>
      <w:proofErr w:type="spellStart"/>
      <w:r>
        <w:t>Эфрос</w:t>
      </w:r>
      <w:proofErr w:type="spellEnd"/>
      <w:r>
        <w:t xml:space="preserve"> А. В.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произведения</w:t>
      </w:r>
      <w:proofErr w:type="spellEnd"/>
      <w:r>
        <w:t xml:space="preserve">: В 4 т.] / 2-е </w:t>
      </w:r>
      <w:proofErr w:type="spellStart"/>
      <w:r>
        <w:t>изд</w:t>
      </w:r>
      <w:proofErr w:type="spellEnd"/>
      <w:r>
        <w:t xml:space="preserve">. </w:t>
      </w:r>
      <w:proofErr w:type="spellStart"/>
      <w:r>
        <w:t>доп</w:t>
      </w:r>
      <w:proofErr w:type="spellEnd"/>
      <w:r>
        <w:t>. М.: Фонд «</w:t>
      </w:r>
      <w:proofErr w:type="spellStart"/>
      <w:r>
        <w:t>Русский</w:t>
      </w:r>
      <w:proofErr w:type="spellEnd"/>
      <w:r>
        <w:t xml:space="preserve"> театр», </w:t>
      </w:r>
      <w:proofErr w:type="spellStart"/>
      <w:r>
        <w:t>Издательство</w:t>
      </w:r>
      <w:proofErr w:type="spellEnd"/>
      <w:r>
        <w:t xml:space="preserve"> «Парнас», 1993. Т. 1. </w:t>
      </w:r>
      <w:proofErr w:type="spellStart"/>
      <w:r>
        <w:t>Репетиция</w:t>
      </w:r>
      <w:proofErr w:type="spellEnd"/>
      <w:r>
        <w:t xml:space="preserve"> – </w:t>
      </w:r>
      <w:proofErr w:type="spellStart"/>
      <w:r>
        <w:t>любовь</w:t>
      </w:r>
      <w:proofErr w:type="spellEnd"/>
      <w:r>
        <w:t xml:space="preserve"> моя. 318 с</w:t>
      </w:r>
    </w:p>
    <w:p w:rsidR="007D4942" w:rsidRDefault="007D4942"/>
    <w:sectPr w:rsidR="007D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C8"/>
    <w:multiLevelType w:val="hybridMultilevel"/>
    <w:tmpl w:val="A178FDDC"/>
    <w:lvl w:ilvl="0" w:tplc="AF70E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04A9"/>
    <w:rsid w:val="001D4078"/>
    <w:rsid w:val="002604A9"/>
    <w:rsid w:val="004A5FC7"/>
    <w:rsid w:val="00782F8A"/>
    <w:rsid w:val="007D4942"/>
    <w:rsid w:val="00B92B3B"/>
    <w:rsid w:val="00CD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4A9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A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2604A9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04A9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604A9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04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2604A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604A9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2604A9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04A9"/>
    <w:rPr>
      <w:rFonts w:ascii="Times New Roman" w:hAnsi="Times New Roman" w:cs="Times New Roman"/>
      <w:sz w:val="28"/>
      <w:szCs w:val="28"/>
    </w:rPr>
  </w:style>
  <w:style w:type="character" w:customStyle="1" w:styleId="a7">
    <w:name w:val="Абзац списка Знак"/>
    <w:basedOn w:val="a0"/>
    <w:link w:val="a8"/>
    <w:uiPriority w:val="34"/>
    <w:locked/>
    <w:rsid w:val="00260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260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604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2020-04-23T10:51:00Z</dcterms:created>
  <dcterms:modified xsi:type="dcterms:W3CDTF">2020-04-23T12:41:00Z</dcterms:modified>
</cp:coreProperties>
</file>