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1233" w:rsidTr="00B1614D">
        <w:tc>
          <w:tcPr>
            <w:tcW w:w="4785" w:type="dxa"/>
          </w:tcPr>
          <w:p w:rsidR="006529C9" w:rsidRPr="006529C9" w:rsidRDefault="003C1233" w:rsidP="00B16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29C9">
              <w:rPr>
                <w:rFonts w:ascii="Times New Roman" w:hAnsi="Times New Roman" w:cs="Times New Roman"/>
                <w:b/>
                <w:sz w:val="32"/>
                <w:szCs w:val="32"/>
              </w:rPr>
              <w:t>Куліш</w:t>
            </w:r>
            <w:proofErr w:type="spellEnd"/>
            <w:r w:rsidRPr="006529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Пантелеймон</w:t>
            </w:r>
            <w:r w:rsidR="006529C9"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r w:rsidRPr="006529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529C9">
              <w:rPr>
                <w:rFonts w:ascii="Times New Roman" w:hAnsi="Times New Roman" w:cs="Times New Roman"/>
                <w:sz w:val="32"/>
                <w:szCs w:val="32"/>
              </w:rPr>
              <w:t>український</w:t>
            </w:r>
            <w:proofErr w:type="spellEnd"/>
            <w:r w:rsidR="006529C9">
              <w:rPr>
                <w:rFonts w:ascii="Times New Roman" w:hAnsi="Times New Roman" w:cs="Times New Roman"/>
                <w:sz w:val="32"/>
                <w:szCs w:val="32"/>
              </w:rPr>
              <w:t xml:space="preserve"> культу</w:t>
            </w:r>
            <w:r w:rsidR="006529C9" w:rsidRPr="006529C9">
              <w:rPr>
                <w:rFonts w:ascii="Times New Roman" w:hAnsi="Times New Roman" w:cs="Times New Roman"/>
                <w:sz w:val="32"/>
                <w:szCs w:val="32"/>
              </w:rPr>
              <w:t xml:space="preserve">ролог, </w:t>
            </w:r>
            <w:proofErr w:type="spellStart"/>
            <w:r w:rsidR="006529C9" w:rsidRPr="006529C9">
              <w:rPr>
                <w:rFonts w:ascii="Times New Roman" w:hAnsi="Times New Roman" w:cs="Times New Roman"/>
                <w:sz w:val="32"/>
                <w:szCs w:val="32"/>
              </w:rPr>
              <w:t>мовознавець</w:t>
            </w:r>
            <w:proofErr w:type="spellEnd"/>
            <w:r w:rsidR="006529C9" w:rsidRPr="006529C9">
              <w:rPr>
                <w:rFonts w:ascii="Times New Roman" w:hAnsi="Times New Roman" w:cs="Times New Roman"/>
                <w:sz w:val="32"/>
                <w:szCs w:val="32"/>
              </w:rPr>
              <w:t>, фольклорист,</w:t>
            </w:r>
          </w:p>
          <w:p w:rsidR="003C1233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6529C9">
              <w:rPr>
                <w:rFonts w:ascii="Times New Roman" w:hAnsi="Times New Roman" w:cs="Times New Roman"/>
                <w:sz w:val="32"/>
                <w:szCs w:val="32"/>
              </w:rPr>
              <w:t>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нограф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перекладач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критик, редактор 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видавець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6529C9" w:rsidRP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529C9" w:rsidRP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Розробив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український</w:t>
            </w:r>
            <w:proofErr w:type="spellEnd"/>
          </w:p>
          <w:p w:rsidR="003C1233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6529C9">
              <w:rPr>
                <w:rFonts w:ascii="Times New Roman" w:hAnsi="Times New Roman" w:cs="Times New Roman"/>
                <w:sz w:val="32"/>
                <w:szCs w:val="32"/>
              </w:rPr>
              <w:t>правопис</w:t>
            </w:r>
            <w:proofErr w:type="spellEnd"/>
            <w:r w:rsidRPr="006529C9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6529C9">
              <w:rPr>
                <w:rFonts w:ascii="Times New Roman" w:hAnsi="Times New Roman" w:cs="Times New Roman"/>
                <w:sz w:val="32"/>
                <w:szCs w:val="32"/>
              </w:rPr>
              <w:t>наближени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фонетичного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–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кулішівку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529C9" w:rsidRP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видав</w:t>
            </w:r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фольклорно-</w:t>
            </w:r>
            <w:proofErr w:type="spellStart"/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етногра</w:t>
            </w:r>
            <w:proofErr w:type="spellEnd"/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proofErr w:type="spellStart"/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фічні</w:t>
            </w:r>
            <w:proofErr w:type="spellEnd"/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матеріали (2-томов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 «Записки 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Южной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Руси», 1856–</w:t>
            </w:r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1857) й історичні праці (3-томова «</w:t>
            </w:r>
            <w:proofErr w:type="spellStart"/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История</w:t>
            </w:r>
            <w:proofErr w:type="spellEnd"/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воссоединения</w:t>
            </w:r>
            <w:proofErr w:type="spellEnd"/>
          </w:p>
          <w:p w:rsidR="006529C9" w:rsidRP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Руси», 1874–1877; історичні оповідання «Хмельниччина» й</w:t>
            </w:r>
          </w:p>
          <w:p w:rsid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Виговщина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»); </w:t>
            </w:r>
          </w:p>
          <w:p w:rsid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переклав українською мовою Біблію;</w:t>
            </w:r>
          </w:p>
          <w:p w:rsid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529C9" w:rsidRPr="006529C9" w:rsidRDefault="006529C9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видавав і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редагував альманах «Хата», жур</w:t>
            </w:r>
            <w:r w:rsidRPr="006529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нал «Основа».</w:t>
            </w:r>
          </w:p>
        </w:tc>
      </w:tr>
      <w:tr w:rsidR="003C1233" w:rsidRPr="005D042D" w:rsidTr="00B1614D">
        <w:tc>
          <w:tcPr>
            <w:tcW w:w="4785" w:type="dxa"/>
          </w:tcPr>
          <w:p w:rsidR="003C1233" w:rsidRDefault="000760BB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D042D">
              <w:rPr>
                <w:rFonts w:ascii="Times New Roman" w:hAnsi="Times New Roman" w:cs="Times New Roman"/>
                <w:b/>
                <w:sz w:val="32"/>
                <w:szCs w:val="32"/>
              </w:rPr>
              <w:t>Воєводін</w:t>
            </w:r>
            <w:proofErr w:type="spellEnd"/>
            <w:r w:rsidRPr="005D0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D042D">
              <w:rPr>
                <w:rFonts w:ascii="Times New Roman" w:hAnsi="Times New Roman" w:cs="Times New Roman"/>
                <w:b/>
                <w:sz w:val="32"/>
                <w:szCs w:val="32"/>
              </w:rPr>
              <w:t>Олексій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країнський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естетик, культуролог, доктор філософських наук, професор</w:t>
            </w:r>
            <w:r w:rsid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5D042D" w:rsidRDefault="005D042D" w:rsidP="00B16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042D" w:rsidRP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Очолював кафедру філософії культури та культурології Східноукраїнського національного університету імені Володимира Даля, а з 2014 року в складі ЛНР працює завідувачем кафедри культурології ДОУК ЛНР «Луганська державна академія культури і мистецтв імені М.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Матусовського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4786" w:type="dxa"/>
          </w:tcPr>
          <w:p w:rsidR="003C1233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Напрями  естетичних досліджень: </w:t>
            </w:r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Сутність естетичного, специфічність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емоційно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-чуттєвих абстракцій і узагальнень, практична типологія естетичних п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очуттів, своєрідність теоретико- </w:t>
            </w:r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естетичного знання, раціонально-теоретичні форми в структурі художньої свідомості, естетична антропологія, закономірності розвитку мистецтва, проблеми св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ітогляду і соціальної регуляції;</w:t>
            </w:r>
          </w:p>
          <w:p w:rsid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 науковому доробку — 90 наукових та науково-методичних праць. Автор 2 одноосібних наукових монографій і 2 монографій у співавторстві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Автор книг:«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Становление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рационально-теоретических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форм в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структуре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художественного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сознания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опыт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историко-генетической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реконструкции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(1996 р.)</w:t>
            </w:r>
          </w:p>
          <w:p w:rsid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«Естетичні виміри моралі»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(2009 р.) </w:t>
            </w:r>
          </w:p>
          <w:p w:rsid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«Естетична оцінка»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(2010 р.)</w:t>
            </w:r>
          </w:p>
          <w:p w:rsidR="005D042D" w:rsidRP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Эстетическая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антропология</w:t>
            </w:r>
            <w:proofErr w:type="spellEnd"/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»(2010 р.)</w:t>
            </w:r>
          </w:p>
          <w:p w:rsid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D042D" w:rsidRPr="005D042D" w:rsidRDefault="005D042D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D042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Має також інші публікацій, в яких досліджуються культурологічні закономірності соціальної регуляції та естетичних станів людини.</w:t>
            </w:r>
          </w:p>
        </w:tc>
      </w:tr>
      <w:tr w:rsidR="003C1233" w:rsidRPr="005D042D" w:rsidTr="00B1614D">
        <w:tc>
          <w:tcPr>
            <w:tcW w:w="4785" w:type="dxa"/>
          </w:tcPr>
          <w:p w:rsidR="003C1233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F65A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Шокало</w:t>
            </w:r>
            <w:proofErr w:type="spellEnd"/>
            <w:r w:rsidRPr="00F65A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>
              <w:t xml:space="preserve">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культурософ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сходознавець, перекладач, публіцист, громадський діяч, член Національної спілки письменників України (з 1979)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Засновник і головний редактор науково-популярного журналу універсального змісту «Український Світ» (з 1991) та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видавництва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 (1992-1993);</w:t>
            </w: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65A65" w:rsidRP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Нагороджений медаллю PRO-ARTE Ґільдії митців Німеччини (1994) за заслуги в розвитку взаєморозуміння між народами на основі культур, зокрема за концепцію журналу «Український Світ».</w:t>
            </w: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65A65" w:rsidRP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Лауреат Всеукраїнської премії імені Бориса Грінченка (2010).</w:t>
            </w:r>
          </w:p>
        </w:tc>
        <w:tc>
          <w:tcPr>
            <w:tcW w:w="4786" w:type="dxa"/>
          </w:tcPr>
          <w:p w:rsidR="003C1233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Автор близько п'ятисот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есеїв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культурософських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українознавчих, сходознавчих, літературознавчих, історіософських праць, публіцистичних статей, перекладів зі східних мов. Частину творів опубліковано англійською, білоруською, литовською, німецькою, російською, таджицькою, турецькою мовам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и;</w:t>
            </w: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Ініціатор видання, автор концепції, упорядник, головний редактор і автор окремих статей меморіального альманаху «Видатні діячі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України минулих століть» (2001);</w:t>
            </w: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Упорядник, автор передмов і перекладач з мови ориґіналу </w:t>
            </w: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збірників таджицьких (1977) та перських (1984) прислів'їв і приказок, упорядник, автор супровідних статей і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співперекладач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таджицької збірника повістей «Перевал» У.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Кугзода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(1985), роману «Вороння живуче»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Дж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Ікрамі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(1987), збірки «Поезії» А.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Лагуті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(1990), збірника творів молодих таджицьких письменників «Проліски Паміру» (1988), збірника «Таджицькі народні казки» (1989); з татарської — збірок «Поезії» (1986) та "Люби життя (1988) Г.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Тукая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О.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Шокало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переклав з таджицької роман «Вода — на добро» М.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Ходжаєва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(1979), повість і роман «На тім світі. Наріжна палата» (1982; роман «Наріжна палата» переклав також російською — видання 1988, 1989 рр.) та оповідання «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Джага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» (1990) Ф.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Мугамадієва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оповідання й повість «Стара школа.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Ятим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» С.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Айні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(1985), а також уміщені в збірниках та періодиці уривки з «Весняного квітника»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Джамі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вірші й оповідання сучасних іранських, таджицьких, кумицьких, узбецьких, туркмен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ських, грузинських письменників;</w:t>
            </w: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Автор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культурософських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досліджень про С.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Оріховського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Ю. Немирича, Г. Сковороду, М. Гоголя, Т. Шевченка, П. Куліша, </w:t>
            </w: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О.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Бодянського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К. Ушинського, П. Юркевича, І. Франка, С.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Томашівського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М.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Слабченка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Г. Вороного, П. Кропоткіна, А. Кримського, Й. Ґете,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Гафіза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Дж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Румі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Конфуція, І. Канта, М. Бердяєва, Ф. </w:t>
            </w:r>
            <w:proofErr w:type="spellStart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Гюлена</w:t>
            </w:r>
            <w:proofErr w:type="spellEnd"/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й ін.</w:t>
            </w:r>
          </w:p>
          <w:p w:rsid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65A65" w:rsidRPr="00F65A65" w:rsidRDefault="00F65A6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5A6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Ініціатор започаткування, автор назв і концепцій, організатор проведення: Фестивалю мистецтв українського зарубіжжя «Український спів у світі» (1999, 2001) та Міжнародного культурно-суспільного проекту Естафета культур європейських народів «Серце Європи» (2008).</w:t>
            </w:r>
          </w:p>
        </w:tc>
      </w:tr>
      <w:tr w:rsidR="003C1233" w:rsidRPr="005D042D" w:rsidTr="00B1614D">
        <w:tc>
          <w:tcPr>
            <w:tcW w:w="4785" w:type="dxa"/>
          </w:tcPr>
          <w:p w:rsidR="003C1233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C73D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Гаюк</w:t>
            </w:r>
            <w:proofErr w:type="spellEnd"/>
            <w:r w:rsidRPr="009C73D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Ірина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>
              <w:t xml:space="preserve"> 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культуролог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лауреат шевченківської премії;</w:t>
            </w: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C73D0" w:rsidRP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 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1989 р. по 2009 р. — старший науковець і завідувач експозиційного відділу «Раннє християнство» та відділу «Вірменська Церква» у Львівському музеї історії релігії. З 2010 р. — старший викладач, згодом — доцент кафедри менеджменту мистецтва ЛНАМ. У лютому 2003 р. в Інституті філософії НАН України ім. Г. С. Сковороди захистила кандидатську дисертацію і здобула ступінь кандидата філософських наук за спеціалізацією «Релігієзнавство».</w:t>
            </w:r>
          </w:p>
        </w:tc>
        <w:tc>
          <w:tcPr>
            <w:tcW w:w="4786" w:type="dxa"/>
          </w:tcPr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Автор двох наукових монографій «Вірменська Церква в Україні» (Львів, 2002 р.) та «Вірменська Церква як унікальний феномен християнського світу» (Львів, 2005 р., мова рос.) та понад 70 наукових статей та розділів. </w:t>
            </w: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Активний член Асоціації </w:t>
            </w:r>
            <w:proofErr w:type="spellStart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релігієзнавців</w:t>
            </w:r>
            <w:proofErr w:type="spellEnd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України. </w:t>
            </w: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C73D0" w:rsidRP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Упорядник та видавець збірки всіх </w:t>
            </w:r>
            <w:proofErr w:type="spellStart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вірменознавчих</w:t>
            </w:r>
            <w:proofErr w:type="spellEnd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праць видатного українського вченого проф. Я. Р. Дашкевича «Вірмени України: дорогами тисячоліть», Львів, 2012.</w:t>
            </w:r>
          </w:p>
          <w:p w:rsidR="009C73D0" w:rsidRP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1233" w:rsidRP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 2012 р. завершила роботу над 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створенням та виданням «Енциклопедії вірменської культури в Україні», за яку у 2014 р. отримала Національну премію України ім. Т. Г. Шевченка.</w:t>
            </w:r>
          </w:p>
        </w:tc>
      </w:tr>
      <w:tr w:rsidR="003C1233" w:rsidRPr="005D042D" w:rsidTr="00B1614D">
        <w:tc>
          <w:tcPr>
            <w:tcW w:w="4785" w:type="dxa"/>
          </w:tcPr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C73D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Конончук</w:t>
            </w:r>
            <w:proofErr w:type="spellEnd"/>
            <w:r w:rsidRPr="009C73D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Тетяна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українська </w:t>
            </w:r>
            <w:proofErr w:type="spellStart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літературознавиця</w:t>
            </w:r>
            <w:proofErr w:type="spellEnd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фольклористка, культуролог, педагог; кандидат філологічних наук (1996); </w:t>
            </w: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1233" w:rsidRP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членкиня</w:t>
            </w:r>
            <w:proofErr w:type="spellEnd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НСЖУ (1998), НСПУ (2002).</w:t>
            </w:r>
          </w:p>
        </w:tc>
        <w:tc>
          <w:tcPr>
            <w:tcW w:w="4786" w:type="dxa"/>
          </w:tcPr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Коло наукових інтересів Т.І. </w:t>
            </w:r>
            <w:proofErr w:type="spellStart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Конончук</w:t>
            </w:r>
            <w:proofErr w:type="spellEnd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охоплює відображення в українській культурі трагедії голодомору 1932–33 в Україні; </w:t>
            </w: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1233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питання фольклору, сучасної української літератури, живопису, скульптури як художньог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 осмислення реалій ХХ століття;</w:t>
            </w: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Бібліографія:</w:t>
            </w: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Затемнення українського сонця, або Трагедія 1932–1933 років у фольклорі України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 (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1998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);</w:t>
            </w:r>
          </w:p>
          <w:p w:rsidR="009C73D0" w:rsidRP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вічну пам’ять: Українська культура про 1932–1933 роки в Україні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Дороги Тараса Шевченка: Короткий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біогр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афічний нарис (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2009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9C73D0" w:rsidRPr="009C73D0" w:rsidRDefault="009C73D0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Шевченківський дискурс як </w:t>
            </w:r>
            <w:proofErr w:type="spellStart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екзистенційний</w:t>
            </w:r>
            <w:proofErr w:type="spellEnd"/>
            <w:r w:rsidRPr="009C7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вимір осмислення художньої реальності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 (2011).</w:t>
            </w:r>
          </w:p>
        </w:tc>
      </w:tr>
      <w:tr w:rsidR="003C1233" w:rsidRPr="005D042D" w:rsidTr="00B1614D">
        <w:tc>
          <w:tcPr>
            <w:tcW w:w="4785" w:type="dxa"/>
          </w:tcPr>
          <w:p w:rsidR="003C1233" w:rsidRDefault="003B44E5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B44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Білик Надія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3B44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український науковець, культуролог, громадсько-культурна діячка</w:t>
            </w:r>
            <w:r w:rsid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Член НТШ (2000).</w:t>
            </w:r>
          </w:p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Кандидат історичних наук (2000), </w:t>
            </w:r>
          </w:p>
          <w:p w:rsidR="00235A28" w:rsidRPr="003B44E5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доцент (2005). Стипендіатка Кабінету Міністрів України для молодих вчених (1997—1999).</w:t>
            </w:r>
          </w:p>
        </w:tc>
        <w:tc>
          <w:tcPr>
            <w:tcW w:w="4786" w:type="dxa"/>
          </w:tcPr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Автор понад 60 наукових праць, розвідок, статей у фахових виданнях, збірниках. Упорядник видань: «Лепкий Б. Вибрані твори: У 2-х тт. — Т. 1: Поезія, проза, спогади» (2007). </w:t>
            </w:r>
          </w:p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1233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Співорганізатор міжнародної наукової конференції «Проблеми інтерпретації творчої спадщини Богдана Лепкого» (2007),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науковий редактор її матеріалів;</w:t>
            </w:r>
          </w:p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35A28" w:rsidRP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Монографії:</w:t>
            </w:r>
          </w:p>
          <w:p w:rsidR="00235A28" w:rsidRP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35A28" w:rsidRP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Білик, Н. І. Культурологічна спадщина Богдана Лепкого: монографія / Н. І. Білик. — Тернопіль: Богдан, 2013. — 184 с.</w:t>
            </w:r>
          </w:p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35A28" w:rsidRP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Білик, Н. Богдан Лепкий у духовному відродженні українського народу: монографія / Надія Білик. — Тернопіль: Збруч, 1999. — 144 с.</w:t>
            </w:r>
          </w:p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5A2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Білик, Н. Богдан Лепкий. Життя і діяльність / Н. Білик. — Тернопіль: Джура, 2001. — 172с.</w:t>
            </w:r>
          </w:p>
          <w:p w:rsid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35A28" w:rsidRPr="00235A28" w:rsidRDefault="00235A2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C1233" w:rsidRPr="005D042D" w:rsidTr="00B1614D">
        <w:tc>
          <w:tcPr>
            <w:tcW w:w="4785" w:type="dxa"/>
          </w:tcPr>
          <w:p w:rsidR="003C1233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BD3E4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Пахльовська</w:t>
            </w:r>
            <w:proofErr w:type="spellEnd"/>
            <w:r w:rsidRPr="00BD3E4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Оксана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>
              <w:t xml:space="preserve"> </w:t>
            </w:r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письменниця, культуролог, професор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Отримала відзнаки:</w:t>
            </w:r>
          </w:p>
          <w:p w:rsidR="00BD3E4A" w:rsidRP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Літературна премія імені Василя Симоненка НСПУ (1989)</w:t>
            </w:r>
          </w:p>
          <w:p w:rsidR="00BD3E4A" w:rsidRP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Премія Олени Теліги (2005)</w:t>
            </w:r>
          </w:p>
          <w:p w:rsidR="00BD3E4A" w:rsidRP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Національна Шевченківська премія (2010)</w:t>
            </w:r>
          </w:p>
        </w:tc>
        <w:tc>
          <w:tcPr>
            <w:tcW w:w="4786" w:type="dxa"/>
          </w:tcPr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Автор численних студій (надрукованих в Україні та за кордоном італійською, англійською, польською, російською та іншими мовами) з історії давньої і сучасної української літератури як цивілізаційного перехрестя між «гуманістичним» Заходом та «візантійським» Сходом (зокрема книжки «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Civilta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letteraria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ucraina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» {Українська літературна цивілізація},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Roma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Carossi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Editore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1998, першого в Європі після падіння Берлінського муру комплексного дослідження, в якому аналізується тисячолітня еволюція європейського коду української культури).</w:t>
            </w:r>
          </w:p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Зараз обіймає посаду Професора Римського університету «Ла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Сап'єнца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», завідує кафедрою україністики при Департаменті європейських та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інтеркультурних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студій (секція славістики) на факультеті літератури і філософії.</w:t>
            </w:r>
          </w:p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1233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Основні праці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BD3E4A" w:rsidRP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Українсько-італійські літературні зв'язки XV—XX ст. — Київ: Наукова думка, 1990. — 215 с.</w:t>
            </w:r>
          </w:p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D3E4A" w:rsidRP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Civiltà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letteraria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ucraina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[Українська літературна цивілізація]. —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Roma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Carocci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Editore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1998. — 1104 p.</w:t>
            </w:r>
          </w:p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Ave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Europa</w:t>
            </w:r>
            <w:proofErr w:type="spellEnd"/>
            <w:r w:rsidRPr="00BD3E4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! — Київ: Пульсари, 2008. — 654 с. (книгу відзначено Шевченківською премією)</w:t>
            </w:r>
          </w:p>
          <w:p w:rsidR="00BD3E4A" w:rsidRPr="00BD3E4A" w:rsidRDefault="00BD3E4A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C1233" w:rsidRPr="005D042D" w:rsidTr="00B1614D">
        <w:tc>
          <w:tcPr>
            <w:tcW w:w="4785" w:type="dxa"/>
          </w:tcPr>
          <w:p w:rsidR="008F53B3" w:rsidRDefault="006D461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D46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Кавун Максим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>
              <w:t xml:space="preserve"> </w:t>
            </w:r>
            <w:r w:rsidRPr="006D461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історик, культ</w:t>
            </w:r>
            <w:r w:rsid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уролог, публіцист, краєзнавець;</w:t>
            </w:r>
          </w:p>
          <w:p w:rsidR="008F53B3" w:rsidRDefault="006D461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D461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Член Національної спілки краєзнавців України з 1995 року. </w:t>
            </w: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Кандидат історичних наук, з 2012 р — завідувач відділом «Музею історії місцевого самоврядування Дніпропетровської області» Дніпропетровського національного історичного музею імені Д. І. Яворницького.</w:t>
            </w: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1233" w:rsidRPr="006D4618" w:rsidRDefault="006D4618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D461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Автор і співавтор 9 книг і більше 300 статей</w:t>
            </w:r>
            <w:r w:rsid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4786" w:type="dxa"/>
          </w:tcPr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Член правління Дніпропетровської обласної організації Національної спілки краєзнавців України з 2008 року.</w:t>
            </w: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Учасник ряду проектів по збереженню історичної пам'яті </w:t>
            </w: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Дніпропетровська: Проект «Пам'ять: події та персоналії» — увічнення пам'яті видатних жителів Катеринослава-Дніпропетровська в меморіальних дошках (організатор — Інститут Україніки, реалізується з 2008 р).</w:t>
            </w: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Видавничий проект «Пам'ять міста» — підготовка і видання книг, присвячених історії виникнення і становлення Катеринослава-Дніпропетровська, а також пам'яток і історичних пам'ятників міста (видавництво «Герда», реалізується з 2009 р).</w:t>
            </w: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123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Глава Робочої групи Комісії Дніпропетровської міської ради з найменування і перейменування вулиць, провулків, площ, парків, скверів, мостів та інших об'єктів на території міста (з вересня 2007 р)</w:t>
            </w: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Автор монографії</w:t>
            </w: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Сади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 парки в історії Катеринослава- </w:t>
            </w: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Дніпропетровська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Автор статей: </w:t>
            </w: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Три життя «Золотої Рози»</w:t>
            </w: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Революція. Як це було сто років тому. Частина 1</w:t>
            </w: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Революція. Як це було сто років тому. Частина 2</w:t>
            </w: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Свідок подорожі імператриці — </w:t>
            </w: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«</w:t>
            </w:r>
            <w:proofErr w:type="spellStart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Катерининська</w:t>
            </w:r>
            <w:proofErr w:type="spellEnd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миля»</w:t>
            </w:r>
          </w:p>
          <w:p w:rsid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Універсали: охоронні грамоти незалежності, або …?</w:t>
            </w:r>
          </w:p>
          <w:p w:rsidR="008F53B3" w:rsidRPr="008F53B3" w:rsidRDefault="008F53B3" w:rsidP="00B161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96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A66" w:rsidTr="00B1614D">
        <w:tc>
          <w:tcPr>
            <w:tcW w:w="4785" w:type="dxa"/>
          </w:tcPr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F53B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Сігов</w:t>
            </w:r>
            <w:proofErr w:type="spellEnd"/>
            <w:r w:rsidRPr="008F53B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Костянтин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8F53B3">
              <w:rPr>
                <w:lang w:val="uk-UA"/>
              </w:rPr>
              <w:t xml:space="preserve"> </w:t>
            </w:r>
            <w:proofErr w:type="spellStart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ськй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філософ і громадський діяч.</w:t>
            </w: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Орден академічної відзнаки та почесне звання </w:t>
            </w:r>
            <w:proofErr w:type="spellStart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Chevalier</w:t>
            </w:r>
            <w:proofErr w:type="spellEnd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dans</w:t>
            </w:r>
            <w:proofErr w:type="spellEnd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l'Ordre</w:t>
            </w:r>
            <w:proofErr w:type="spellEnd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des</w:t>
            </w:r>
            <w:proofErr w:type="spellEnd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Palmes</w:t>
            </w:r>
            <w:proofErr w:type="spellEnd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Academiques</w:t>
            </w:r>
            <w:proofErr w:type="spellEnd"/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від французького міністерства вищої освіти і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наукових досліджень.</w:t>
            </w: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6A66" w:rsidRPr="008F53B3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иректор Центру Європейських гуманітарних досліджень Національного університету «Києво-Могилянська академія» та науково-видавничого об'єднання «Дух і Літера», головний редактор часопису «Дух і Літера».</w:t>
            </w:r>
          </w:p>
        </w:tc>
        <w:tc>
          <w:tcPr>
            <w:tcW w:w="4786" w:type="dxa"/>
          </w:tcPr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  <w:r w:rsidRPr="008F53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аукові інтереси — філософська антроп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ологія, апологетичне богослов'я;</w:t>
            </w: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є автором понад 50 наукових праць, присвячених питанням філософії та історії культури, філософської антропології, етики й мистецтвознавства. </w:t>
            </w: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Дослідження надруковані в наукових виданнях Франції, Німеччини, США, Великої Британії, Італії, Швейцарії, Швеції. </w:t>
            </w: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Має широкий досвід викладання французькою та англійською мовами в університетах </w:t>
            </w:r>
            <w:proofErr w:type="spellStart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Сорбонни</w:t>
            </w:r>
            <w:proofErr w:type="spellEnd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Оксфорду, </w:t>
            </w:r>
            <w:proofErr w:type="spellStart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Стенфорду</w:t>
            </w:r>
            <w:proofErr w:type="spellEnd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Женеви, </w:t>
            </w:r>
            <w:proofErr w:type="spellStart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Лувену</w:t>
            </w:r>
            <w:proofErr w:type="spellEnd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 </w:t>
            </w:r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ін. </w:t>
            </w: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Читає авторський курс лекцій «Європейська культура: конфлікт інтерпретацій» на магістерській програмі в </w:t>
            </w:r>
            <w:proofErr w:type="spellStart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НаУКМА</w:t>
            </w:r>
            <w:proofErr w:type="spellEnd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A6A66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Праця: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proofErr w:type="spellStart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Детство</w:t>
            </w:r>
            <w:proofErr w:type="spellEnd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</w:t>
            </w:r>
            <w:proofErr w:type="spellStart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христианской</w:t>
            </w:r>
            <w:proofErr w:type="spellEnd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традиции</w:t>
            </w:r>
            <w:proofErr w:type="spellEnd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 </w:t>
            </w:r>
            <w:proofErr w:type="spellStart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современной</w:t>
            </w:r>
            <w:proofErr w:type="spellEnd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91C7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культуре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:rsidR="008A6A66" w:rsidRPr="008F53B3" w:rsidRDefault="008A6A66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A6A66" w:rsidTr="00B1614D">
        <w:tc>
          <w:tcPr>
            <w:tcW w:w="4785" w:type="dxa"/>
          </w:tcPr>
          <w:p w:rsidR="008A6A66" w:rsidRDefault="008A6A66" w:rsidP="00B1614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A6A6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Чмихов</w:t>
            </w:r>
            <w:proofErr w:type="spellEnd"/>
            <w:r w:rsidRPr="008A6A6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Микола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="00A7305A">
              <w:t xml:space="preserve"> </w:t>
            </w:r>
            <w:r w:rsidR="00A7305A" w:rsidRPr="00A730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історик, культуролог, доктор історичних наук (1992).</w:t>
            </w:r>
          </w:p>
          <w:p w:rsidR="00A7305A" w:rsidRPr="008A6A66" w:rsidRDefault="00A7305A" w:rsidP="00B1614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786" w:type="dxa"/>
          </w:tcPr>
          <w:p w:rsidR="008A6A66" w:rsidRDefault="00A7305A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30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став засновником кафедри культурології і археології факультету гуманітарних наук Національного університе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 «Києво-Могилянська академія»;</w:t>
            </w:r>
          </w:p>
          <w:p w:rsidR="00A7305A" w:rsidRDefault="00A7305A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7305A" w:rsidRDefault="00A7305A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30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був видатним українським культурологом, досліджував проблеми хронології, </w:t>
            </w:r>
            <w:proofErr w:type="spellStart"/>
            <w:r w:rsidRPr="00A730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етногенези</w:t>
            </w:r>
            <w:proofErr w:type="spellEnd"/>
            <w:r w:rsidRPr="00A730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 духовної культури населення Європи і Близького Сходу мідно-бронзової та залізної доби. Його цікавили проблеми духовної культури стародавніх суспільств, міфологічна свідомість, її відображення в предметному світі конкретних археологічних культур, а також вивчення космічної символіки археоло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гічних пам'ятників різних часів;</w:t>
            </w:r>
          </w:p>
          <w:p w:rsidR="00A7305A" w:rsidRDefault="00A7305A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30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Автор майже 100 наукових </w:t>
            </w:r>
            <w:r w:rsidRPr="00A730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публікацій.</w:t>
            </w:r>
          </w:p>
          <w:p w:rsidR="00A7305A" w:rsidRPr="00A7305A" w:rsidRDefault="00A7305A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305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 них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монографії, підручники, статті.</w:t>
            </w:r>
          </w:p>
        </w:tc>
      </w:tr>
      <w:tr w:rsidR="008A6A66" w:rsidTr="00B1614D">
        <w:tc>
          <w:tcPr>
            <w:tcW w:w="4785" w:type="dxa"/>
          </w:tcPr>
          <w:p w:rsidR="008A6A66" w:rsidRPr="007D15C5" w:rsidRDefault="007D15C5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15C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Яковенко Петро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="00B1614D">
              <w:t xml:space="preserve"> </w:t>
            </w:r>
            <w:r w:rsidR="00B1614D" w:rsidRPr="00B161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український культуролог, журналіст, мистецтвознавець, громадський діяч, член Національної спілки журналістів України з 1982 р.</w:t>
            </w:r>
          </w:p>
        </w:tc>
        <w:tc>
          <w:tcPr>
            <w:tcW w:w="4786" w:type="dxa"/>
          </w:tcPr>
          <w:p w:rsidR="00B1614D" w:rsidRDefault="00B1614D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161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Коло наукових інтересів — історія молодіжної культури XX століття. Активно досліджував етапи становлення рок-музики, різні її стилі, вивчав і висвітлював творчість видатних світових рок-виконавців. </w:t>
            </w:r>
          </w:p>
          <w:p w:rsidR="00B1614D" w:rsidRDefault="00B1614D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1614D" w:rsidRDefault="00B1614D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161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Окремий напрям наукової роботи — дослідження маловідомих сторінок історії України кінця XIX — початку XX століття, зокрема діяльність Центральної Ради та Генерального Секретаріату 1918 р. </w:t>
            </w:r>
            <w:proofErr w:type="spellStart"/>
            <w:r w:rsidRPr="00B161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Плідно</w:t>
            </w:r>
            <w:proofErr w:type="spellEnd"/>
            <w:r w:rsidRPr="00B161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працює на ниві публіцистики, починаючи з 1976 р.</w:t>
            </w:r>
          </w:p>
          <w:p w:rsidR="008A6A66" w:rsidRPr="00B1614D" w:rsidRDefault="00B1614D" w:rsidP="00B1614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1614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Вів тематичні рубрики у провідних українських періодичних виданнях (газета «Культура і життя», журнали «Ранок», «Старт», «Однокласник» та інші).</w:t>
            </w:r>
          </w:p>
        </w:tc>
      </w:tr>
    </w:tbl>
    <w:p w:rsidR="006D4618" w:rsidRDefault="006D4618" w:rsidP="003C123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D4618" w:rsidRDefault="006D4618" w:rsidP="003C123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6D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33"/>
    <w:rsid w:val="000760BB"/>
    <w:rsid w:val="00171FF8"/>
    <w:rsid w:val="00235A28"/>
    <w:rsid w:val="003B44E5"/>
    <w:rsid w:val="003C1233"/>
    <w:rsid w:val="005D042D"/>
    <w:rsid w:val="006529C9"/>
    <w:rsid w:val="006D4618"/>
    <w:rsid w:val="007D15C5"/>
    <w:rsid w:val="008A6A66"/>
    <w:rsid w:val="008F53B3"/>
    <w:rsid w:val="009C73D0"/>
    <w:rsid w:val="00A7305A"/>
    <w:rsid w:val="00AE7C38"/>
    <w:rsid w:val="00B1614D"/>
    <w:rsid w:val="00BD3E4A"/>
    <w:rsid w:val="00E91C76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</cp:revision>
  <dcterms:created xsi:type="dcterms:W3CDTF">2020-05-16T11:50:00Z</dcterms:created>
  <dcterms:modified xsi:type="dcterms:W3CDTF">2020-05-16T11:50:00Z</dcterms:modified>
</cp:coreProperties>
</file>